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10D0BAC" w:rsidR="00ED1C26" w:rsidRPr="00D14435" w:rsidRDefault="00E806F2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9193B" w14:textId="280D66F1" w:rsidR="00C32DEB" w:rsidRPr="00E806F2" w:rsidRDefault="00F47724" w:rsidP="00A16CB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A16CB9">
        <w:rPr>
          <w:rFonts w:ascii="Times New Roman" w:hAnsi="Times New Roman" w:cs="Times New Roman"/>
          <w:sz w:val="28"/>
          <w:szCs w:val="28"/>
        </w:rPr>
        <w:br/>
      </w:r>
      <w:r w:rsidR="00850941">
        <w:rPr>
          <w:rFonts w:ascii="Times New Roman" w:hAnsi="Times New Roman" w:cs="Times New Roman"/>
          <w:sz w:val="28"/>
          <w:szCs w:val="28"/>
        </w:rPr>
        <w:t>СО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ОМВД России по району </w:t>
      </w:r>
      <w:r w:rsidR="00C753E9">
        <w:rPr>
          <w:rFonts w:ascii="Times New Roman" w:hAnsi="Times New Roman" w:cs="Times New Roman"/>
          <w:sz w:val="28"/>
          <w:szCs w:val="28"/>
        </w:rPr>
        <w:t>Тропарево-Никулино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5FB008D3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</w:t>
      </w:r>
      <w:r w:rsidR="00C753E9">
        <w:rPr>
          <w:rFonts w:ascii="Times New Roman" w:hAnsi="Times New Roman" w:cs="Times New Roman"/>
          <w:sz w:val="28"/>
          <w:szCs w:val="28"/>
        </w:rPr>
        <w:t>Тропарево-Никулино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12301450107000086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proofErr w:type="spellStart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Мусурманова</w:t>
      </w:r>
      <w:proofErr w:type="spellEnd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Анвара </w:t>
      </w:r>
      <w:proofErr w:type="spellStart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Нафасовича</w:t>
      </w:r>
      <w:proofErr w:type="spellEnd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6E1E4068" w14:textId="2AFF747A" w:rsidR="00662978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proofErr w:type="spellStart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Мусурманов</w:t>
      </w:r>
      <w:proofErr w:type="spellEnd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28 часов 40 минут 13.02.2023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близи дома № 16, расположенного по адресу: 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Мичуринский проспект, Олимпийская деревня,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преступный умысел, направленный на тайное хищение чужого имущества, 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обнаружил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телефон марки «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Самсунг </w:t>
      </w:r>
      <w:proofErr w:type="spellStart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Гелакси</w:t>
      </w:r>
      <w:proofErr w:type="spellEnd"/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А52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стоимостью 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убедившись, что за его преступными действиями никто не наблюдает, тайно похитил указанный мобильный телефон, после чего с места преступления скрылся.</w:t>
      </w:r>
    </w:p>
    <w:p w14:paraId="3873525E" w14:textId="7CD60125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53E5BCD2" w14:textId="77777777" w:rsidR="00A16CB9" w:rsidRDefault="00A16CB9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6B0A11C2" w14:textId="7216AD6E" w:rsidR="00503D80" w:rsidRPr="00A16CB9" w:rsidRDefault="00503D80" w:rsidP="00A16CB9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7895A9E5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8B72B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BB23E1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B29A73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445C3D90" w:rsidR="005B6345" w:rsidRPr="006B7533" w:rsidRDefault="00A16CB9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Морозов Д.П.</w:t>
      </w:r>
    </w:p>
    <w:sectPr w:rsidR="005B6345" w:rsidRPr="006B7533" w:rsidSect="00A16CB9">
      <w:footerReference w:type="first" r:id="rId12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082" w14:textId="77777777" w:rsidR="005713DD" w:rsidRDefault="005713DD" w:rsidP="007212FD">
      <w:pPr>
        <w:spacing w:after="0" w:line="240" w:lineRule="auto"/>
      </w:pPr>
      <w:r>
        <w:separator/>
      </w:r>
    </w:p>
  </w:endnote>
  <w:endnote w:type="continuationSeparator" w:id="0">
    <w:p w14:paraId="77389D4B" w14:textId="77777777" w:rsidR="005713DD" w:rsidRDefault="005713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A16CB9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A0E6" w14:textId="77777777" w:rsidR="005713DD" w:rsidRDefault="005713DD" w:rsidP="007212FD">
      <w:pPr>
        <w:spacing w:after="0" w:line="240" w:lineRule="auto"/>
      </w:pPr>
      <w:r>
        <w:separator/>
      </w:r>
    </w:p>
  </w:footnote>
  <w:footnote w:type="continuationSeparator" w:id="0">
    <w:p w14:paraId="06EC27B4" w14:textId="77777777" w:rsidR="005713DD" w:rsidRDefault="005713D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D6E64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2978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50941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16CB9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753E9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06F2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1D5CE-BE94-448E-A76D-8A7D76B2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Морозов Денис Павлович</cp:lastModifiedBy>
  <cp:revision>2</cp:revision>
  <cp:lastPrinted>2023-12-19T14:23:00Z</cp:lastPrinted>
  <dcterms:created xsi:type="dcterms:W3CDTF">2023-12-19T14:23:00Z</dcterms:created>
  <dcterms:modified xsi:type="dcterms:W3CDTF">2023-12-19T14:23:00Z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